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740" w:rsidRDefault="00442740" w:rsidP="00442740">
      <w:pPr>
        <w:pStyle w:val="Nadpis2"/>
      </w:pPr>
      <w:r>
        <w:t>Příloha č. 5</w:t>
      </w:r>
      <w:r w:rsidRPr="00FD7CCA">
        <w:t>.</w:t>
      </w:r>
      <w:r>
        <w:t>3.1.3 – Úvod do vzdělávacího programu a reflexe besedy</w:t>
      </w:r>
    </w:p>
    <w:p w:rsidR="00442740" w:rsidRDefault="00442740" w:rsidP="00442740">
      <w:pPr>
        <w:rPr>
          <w:b/>
        </w:rPr>
      </w:pPr>
      <w:r>
        <w:rPr>
          <w:b/>
        </w:rPr>
        <w:t>Možnosti politické participace</w:t>
      </w:r>
    </w:p>
    <w:p w:rsidR="00442740" w:rsidRDefault="00442740" w:rsidP="00442740">
      <w:pPr>
        <w:rPr>
          <w:b/>
        </w:rPr>
      </w:pPr>
      <w:r>
        <w:rPr>
          <w:b/>
        </w:rPr>
        <w:t xml:space="preserve">Jak můžeme naložit s informacemi, které se k nám dostanou, a co dělat, když nejsme spokojeni s tím, co se kolem nás děje? Jak můžeme ovlivnit správu věcí veřejných a proč bychom se o ni vlastně měli zajímat? </w:t>
      </w:r>
    </w:p>
    <w:p w:rsidR="00442740" w:rsidRDefault="00442740" w:rsidP="00442740">
      <w:r>
        <w:t>Každý z nás jsme členem nějakého společenství – státu, města, školy nebo obce. Pokud ve společenství chceme něco změnit nebo se nám v něm něco nelíbí, máme právo se k dané věci vyjádřit, ohradit se vůči ní či se pokusit o změnu. Můžeme se ohradit jako jedinec i jako skupina. Takto funguje zdravá občanská společnost v demokratickém státě. V našem státě existuje více možností, jak se mohou občané zapojit do správy věcí veřejných. Některé z nich – založení hnutí, spolku, politické strany, vytvoření informační kampaně, sepsání petice, demonstrace – budou součástí tohoto výukového programu.</w:t>
      </w:r>
    </w:p>
    <w:p w:rsidR="00442740" w:rsidRPr="002950CE" w:rsidRDefault="00442740" w:rsidP="00442740">
      <w:pPr>
        <w:ind w:firstLine="708"/>
        <w:rPr>
          <w:sz w:val="20"/>
          <w:szCs w:val="17"/>
        </w:rPr>
      </w:pPr>
      <w:r w:rsidRPr="00C606F3">
        <w:rPr>
          <w:i/>
          <w:sz w:val="20"/>
          <w:szCs w:val="17"/>
        </w:rPr>
        <w:t>„…ve věcech veřejného nebo jiného společného zájmu má každý právo sám nebo s jinými se obracet na státní orgány a orgány územní samosprávy s žádostmi, návrhy a stížnostmi.“</w:t>
      </w:r>
      <w:r>
        <w:rPr>
          <w:i/>
          <w:sz w:val="20"/>
          <w:szCs w:val="17"/>
        </w:rPr>
        <w:t xml:space="preserve"> </w:t>
      </w:r>
      <w:r>
        <w:rPr>
          <w:sz w:val="20"/>
          <w:szCs w:val="17"/>
        </w:rPr>
        <w:t>(</w:t>
      </w:r>
      <w:r w:rsidRPr="000E5C63">
        <w:rPr>
          <w:sz w:val="20"/>
          <w:szCs w:val="17"/>
        </w:rPr>
        <w:t>Ústavní zákon č. 2/1993 Sb., Listina základních práv a svobod)</w:t>
      </w:r>
    </w:p>
    <w:p w:rsidR="00442740" w:rsidRPr="000E5C63" w:rsidRDefault="00442740" w:rsidP="00442740">
      <w:pPr>
        <w:ind w:firstLine="708"/>
      </w:pPr>
      <w:r>
        <w:rPr>
          <w:i/>
          <w:sz w:val="20"/>
          <w:szCs w:val="17"/>
        </w:rPr>
        <w:t>„</w:t>
      </w:r>
      <w:r w:rsidRPr="00146FC9">
        <w:rPr>
          <w:i/>
          <w:sz w:val="20"/>
          <w:szCs w:val="17"/>
        </w:rPr>
        <w:t>Občané mají právo podílet se na správě veřejných věcí přímo nebo svobodnou volbou svých zástupců.“</w:t>
      </w:r>
      <w:r>
        <w:rPr>
          <w:sz w:val="20"/>
          <w:szCs w:val="17"/>
        </w:rPr>
        <w:t xml:space="preserve"> (</w:t>
      </w:r>
      <w:r w:rsidRPr="000E5C63">
        <w:rPr>
          <w:sz w:val="20"/>
          <w:szCs w:val="17"/>
        </w:rPr>
        <w:t>Ústavní zákon č. 2/1993 Sb., Listina základních práv a svobod)</w:t>
      </w:r>
    </w:p>
    <w:p w:rsidR="00442740" w:rsidRDefault="00442740" w:rsidP="00442740">
      <w:r>
        <w:rPr>
          <w:b/>
        </w:rPr>
        <w:t xml:space="preserve">Možnosti politické participace </w:t>
      </w:r>
      <w:r>
        <w:t>– účastnění se na správě věcí veřejných. Aktivity, jimiž občané a skupiny vyjadřují podporu vládě a její politice, nebo se ji snaží ovlivnit ve svůj prospěch, nebo vyměnit. Jedná se například o:</w:t>
      </w:r>
    </w:p>
    <w:p w:rsidR="00442740" w:rsidRDefault="00442740" w:rsidP="00442740">
      <w:pPr>
        <w:numPr>
          <w:ilvl w:val="0"/>
          <w:numId w:val="2"/>
        </w:numPr>
        <w:spacing w:after="160" w:line="259" w:lineRule="auto"/>
        <w:jc w:val="left"/>
      </w:pPr>
      <w:r>
        <w:t>hlasování ve volbách a referendech</w:t>
      </w:r>
    </w:p>
    <w:p w:rsidR="00442740" w:rsidRDefault="00442740" w:rsidP="00442740">
      <w:pPr>
        <w:numPr>
          <w:ilvl w:val="0"/>
          <w:numId w:val="2"/>
        </w:numPr>
        <w:spacing w:after="160" w:line="259" w:lineRule="auto"/>
        <w:jc w:val="left"/>
      </w:pPr>
      <w:r>
        <w:t>vstup do politické strany, kandidování za stranu, založení vlastní strany</w:t>
      </w:r>
    </w:p>
    <w:p w:rsidR="00442740" w:rsidRDefault="00442740" w:rsidP="00442740">
      <w:pPr>
        <w:numPr>
          <w:ilvl w:val="0"/>
          <w:numId w:val="2"/>
        </w:numPr>
        <w:spacing w:after="160" w:line="259" w:lineRule="auto"/>
        <w:jc w:val="left"/>
      </w:pPr>
      <w:r>
        <w:t>organizace nebo podpis petice</w:t>
      </w:r>
    </w:p>
    <w:p w:rsidR="00442740" w:rsidRDefault="00442740" w:rsidP="00442740">
      <w:pPr>
        <w:numPr>
          <w:ilvl w:val="0"/>
          <w:numId w:val="2"/>
        </w:numPr>
        <w:spacing w:after="160" w:line="259" w:lineRule="auto"/>
        <w:jc w:val="left"/>
      </w:pPr>
      <w:r>
        <w:t>účast na politické debatě, schůze politické strany</w:t>
      </w:r>
    </w:p>
    <w:p w:rsidR="00442740" w:rsidRDefault="00442740" w:rsidP="00442740">
      <w:pPr>
        <w:numPr>
          <w:ilvl w:val="0"/>
          <w:numId w:val="2"/>
        </w:numPr>
        <w:spacing w:after="160" w:line="259" w:lineRule="auto"/>
        <w:jc w:val="left"/>
      </w:pPr>
      <w:r>
        <w:t>zaslání dopisu svému poslanci, senátorovi</w:t>
      </w:r>
    </w:p>
    <w:p w:rsidR="00442740" w:rsidRDefault="00442740" w:rsidP="00442740">
      <w:pPr>
        <w:numPr>
          <w:ilvl w:val="0"/>
          <w:numId w:val="2"/>
        </w:numPr>
        <w:spacing w:after="160" w:line="259" w:lineRule="auto"/>
        <w:jc w:val="left"/>
      </w:pPr>
      <w:r>
        <w:t>prezentaci problému v médiích (publicistické pořady)</w:t>
      </w:r>
    </w:p>
    <w:p w:rsidR="00442740" w:rsidRDefault="00442740" w:rsidP="00442740">
      <w:pPr>
        <w:numPr>
          <w:ilvl w:val="0"/>
          <w:numId w:val="2"/>
        </w:numPr>
        <w:spacing w:after="160" w:line="259" w:lineRule="auto"/>
        <w:jc w:val="left"/>
      </w:pPr>
      <w:r>
        <w:t>pořádání demonstrace</w:t>
      </w:r>
    </w:p>
    <w:p w:rsidR="00442740" w:rsidRDefault="00442740" w:rsidP="00442740">
      <w:pPr>
        <w:numPr>
          <w:ilvl w:val="0"/>
          <w:numId w:val="2"/>
        </w:numPr>
        <w:spacing w:after="160" w:line="259" w:lineRule="auto"/>
        <w:jc w:val="left"/>
      </w:pPr>
      <w:r>
        <w:t>stávku</w:t>
      </w:r>
    </w:p>
    <w:p w:rsidR="00442740" w:rsidRDefault="00442740" w:rsidP="00442740">
      <w:pPr>
        <w:numPr>
          <w:ilvl w:val="0"/>
          <w:numId w:val="2"/>
        </w:numPr>
        <w:spacing w:after="160" w:line="259" w:lineRule="auto"/>
        <w:jc w:val="left"/>
      </w:pPr>
      <w:r>
        <w:t>podání stížnosti nebo žaloby při porušení zákona nebo lidských práv</w:t>
      </w:r>
    </w:p>
    <w:p w:rsidR="00442740" w:rsidRDefault="00442740" w:rsidP="00442740">
      <w:pPr>
        <w:numPr>
          <w:ilvl w:val="0"/>
          <w:numId w:val="2"/>
        </w:numPr>
        <w:spacing w:after="160" w:line="259" w:lineRule="auto"/>
        <w:jc w:val="left"/>
      </w:pPr>
      <w:r>
        <w:t>účast v občanském sdružení, zájmové skupině, dobrovolnické práce, dary veřejně prospěšným organizacím</w:t>
      </w:r>
    </w:p>
    <w:p w:rsidR="00442740" w:rsidRDefault="00442740" w:rsidP="00442740">
      <w:pPr>
        <w:numPr>
          <w:ilvl w:val="0"/>
          <w:numId w:val="2"/>
        </w:numPr>
        <w:spacing w:after="160" w:line="259" w:lineRule="auto"/>
        <w:jc w:val="left"/>
      </w:pPr>
      <w:r>
        <w:t>nekonvenční participaci Nekonvenční participace – odmítání placení daní, bojkot zboží, hladovka, zátarasy, blokády silnic, rypadel (Buček 2019, s. 109-110)</w:t>
      </w:r>
    </w:p>
    <w:p w:rsidR="00442740" w:rsidRDefault="00442740" w:rsidP="00442740">
      <w:r>
        <w:t>Jakýkoliv způsob zapojení do správy věcí veřejných vyžaduje, abychom uměli správně formulovat, vyjadřovat svoje názory nebo to, co chceme změnit, abychom svoje názory dokázali správně představit veřejnosti, případně klíčovým osobnostem (politikům, zastupitelům, vládě), které chceme ovlivnit a které mají právo o věci rozhodnout. Tímto se především budeme zabývat ve výukovém programu, který právě držíte v ruce.</w:t>
      </w:r>
    </w:p>
    <w:p w:rsidR="00442740" w:rsidRPr="00BB0E5C" w:rsidRDefault="00442740" w:rsidP="00442740">
      <w:r>
        <w:lastRenderedPageBreak/>
        <w:t xml:space="preserve">Právě vznik hnutí (spojení skupiny lidí se společným zájmem) bývá často na začátku změny ve společnosti (např. zastavení těžby uhlí, změny zákona, vzniku politické strany), nebo dokonce reformy státu (např. sametová revoluce). Může se jednat ale i o změny typu vzniku nového parku ve městě, dětského hřiště, zabránění stavby dálnice, vznik kina či kulturního centra, zachránění kulturní památky. </w:t>
      </w:r>
    </w:p>
    <w:p w:rsidR="00442740" w:rsidRPr="00741454" w:rsidRDefault="00442740" w:rsidP="00442740">
      <w:pPr>
        <w:rPr>
          <w:b/>
        </w:rPr>
      </w:pPr>
      <w:r>
        <w:rPr>
          <w:b/>
        </w:rPr>
        <w:t>Sociální hnutí a občanská společnost</w:t>
      </w:r>
    </w:p>
    <w:p w:rsidR="00442740" w:rsidRDefault="00442740" w:rsidP="00442740">
      <w:r>
        <w:t xml:space="preserve">Sociolog Anthony </w:t>
      </w:r>
      <w:proofErr w:type="spellStart"/>
      <w:r>
        <w:t>Giddens</w:t>
      </w:r>
      <w:proofErr w:type="spellEnd"/>
      <w:r>
        <w:t xml:space="preserve"> (2001, s. 479) definuje sociální hnutí jako kolektivní snahu o prosazení společného zájmu nebo dosažení společného cíle prostřednictvím kolektivní akce mimo sféru etablovaných institucí (politické strany, vláda, zastupitelstvo, parlament). Některá hnutí působí v souladu s platnými zákony dané společnosti, jiná v ilegalitě. Činnost sociálních hnutí často vede ke změně stávajících zákonů. Typickými příklady jsou environmentální hnutí (např. Greenpeace nebo </w:t>
      </w:r>
      <w:proofErr w:type="spellStart"/>
      <w:r>
        <w:t>Extinction</w:t>
      </w:r>
      <w:proofErr w:type="spellEnd"/>
      <w:r>
        <w:t xml:space="preserve"> </w:t>
      </w:r>
      <w:proofErr w:type="spellStart"/>
      <w:r>
        <w:t>Rebellion</w:t>
      </w:r>
      <w:proofErr w:type="spellEnd"/>
      <w:r>
        <w:t>), hnutí za práva žen, LGBT hnutí, Afroamerické hnutí za občanská práva černochů, hnutí za zákaz potratů, hnutí za práva zvířat apod. Členy mohou být jednotlivci, spolky i politické strany. K environmentálnímu hnutí se například hlásí Strana zelených.</w:t>
      </w:r>
    </w:p>
    <w:p w:rsidR="00442740" w:rsidRDefault="00442740" w:rsidP="00442740">
      <w:r>
        <w:t>Sociální hnutí bývají méně organizovaná než spolek či politická strana a většinou přesahují hranice státu. Dělicí čára mezi sociálními hnutími a formálními organizacemi nicméně nebývá vždy ostrá, protože zavedená hnutí obvykle nabývají do jisté míry byrokratického charakteru (např. mezinárodní organizace Greenpeace, hnutí „</w:t>
      </w:r>
      <w:proofErr w:type="gramStart"/>
      <w:r>
        <w:t>Zelených</w:t>
      </w:r>
      <w:proofErr w:type="gramEnd"/>
      <w:r>
        <w:t>“). Například v České republice jsou zástupci Greenpeace zároveň členy poradního orgánu vlády pro útlum těžby uhlí, tzv. Uhelné komise. V některých případech může ze sociálního hnutí vzniknout politická strana, například Strana zelených. Za počátkem zakládání pirátských stran v Evropě stálo hnutí za svobodné šíření informací (na internetu) a občanské svobody.</w:t>
      </w:r>
    </w:p>
    <w:p w:rsidR="00442740" w:rsidRDefault="00442740" w:rsidP="00442740">
      <w:r>
        <w:t xml:space="preserve">Sociální hnutí jsou součástí občanské společnosti stejně jako spolky či politické strany. Stejně jako právo volit nebo být volen máme právo sdružovat se. </w:t>
      </w:r>
    </w:p>
    <w:p w:rsidR="00442740" w:rsidRPr="000E5C63" w:rsidRDefault="00442740" w:rsidP="00442740">
      <w:pPr>
        <w:ind w:firstLine="708"/>
        <w:rPr>
          <w:sz w:val="20"/>
          <w:szCs w:val="17"/>
        </w:rPr>
      </w:pPr>
      <w:r w:rsidRPr="00C606F3">
        <w:rPr>
          <w:i/>
        </w:rPr>
        <w:t>„</w:t>
      </w:r>
      <w:r w:rsidRPr="00C606F3">
        <w:rPr>
          <w:i/>
          <w:sz w:val="20"/>
          <w:szCs w:val="17"/>
        </w:rPr>
        <w:t xml:space="preserve">Každý má právo spolu s jinými se sdružovat ve spolcích, společnostech a jiných sdruženích.“ </w:t>
      </w:r>
      <w:r>
        <w:rPr>
          <w:sz w:val="20"/>
          <w:szCs w:val="17"/>
        </w:rPr>
        <w:t>(</w:t>
      </w:r>
      <w:r w:rsidRPr="000E5C63">
        <w:rPr>
          <w:sz w:val="20"/>
          <w:szCs w:val="17"/>
        </w:rPr>
        <w:t>Ústavní zákon č. 2/1993 Sb., Listina základních práv a svobod)</w:t>
      </w:r>
    </w:p>
    <w:p w:rsidR="00442740" w:rsidRDefault="00442740" w:rsidP="00442740">
      <w:r>
        <w:t xml:space="preserve">U nás bývá sociální hnutí označováno někdy také jako občanské hnutí. Příklady mohou být: Limity jsme </w:t>
      </w:r>
      <w:proofErr w:type="gramStart"/>
      <w:r>
        <w:t>my!,</w:t>
      </w:r>
      <w:proofErr w:type="gramEnd"/>
      <w:r>
        <w:t xml:space="preserve"> Hnutí DUHA, Hnutí za práva zvířat, Milion chvilek pro demokracii, Nesehnutí. Tato hnutí jsou většinou zároveň i spolky, a to proto, že spolky mají výhodnější postavení pro zapojení se do rozhodování o veřejných záležitostech. Například je-li jako hlavní poslání spolku uvedena ochrana přírody a krajiny, získá spolek možnost účastnit se řízení, v nichž budou dotčeny zájmy ochrany přírody a krajiny. Tzn. účastnit se řízení schvalujících např. rozšíření dolu na uhlí, výstavbu dálnice, průmyslové haly apod.</w:t>
      </w:r>
    </w:p>
    <w:p w:rsidR="00442740" w:rsidRPr="00270E34" w:rsidRDefault="00442740" w:rsidP="00442740">
      <w:pPr>
        <w:rPr>
          <w:u w:val="single"/>
        </w:rPr>
      </w:pPr>
      <w:r>
        <w:rPr>
          <w:u w:val="single"/>
        </w:rPr>
        <w:t>Otázka k zamyšlení:</w:t>
      </w:r>
    </w:p>
    <w:p w:rsidR="00442740" w:rsidRPr="00270E34" w:rsidRDefault="00442740" w:rsidP="00442740">
      <w:pPr>
        <w:pStyle w:val="Odstavecseseznamem"/>
        <w:numPr>
          <w:ilvl w:val="0"/>
          <w:numId w:val="2"/>
        </w:numPr>
        <w:rPr>
          <w:i/>
        </w:rPr>
      </w:pPr>
      <w:r w:rsidRPr="00270E34">
        <w:rPr>
          <w:i/>
        </w:rPr>
        <w:t>Znáš nějaké spolky, které se snaží o změnu v místě tvého bydliště, v ČR nebo na mezinárodní úrovni?</w:t>
      </w:r>
    </w:p>
    <w:p w:rsidR="00442740" w:rsidRDefault="00442740" w:rsidP="00442740">
      <w:pPr>
        <w:tabs>
          <w:tab w:val="left" w:pos="7994"/>
        </w:tabs>
        <w:rPr>
          <w:b/>
        </w:rPr>
      </w:pPr>
      <w:r>
        <w:rPr>
          <w:b/>
        </w:rPr>
        <w:t>Občanská společnost</w:t>
      </w:r>
      <w:r>
        <w:rPr>
          <w:b/>
        </w:rPr>
        <w:tab/>
      </w:r>
    </w:p>
    <w:p w:rsidR="00442740" w:rsidRDefault="00442740" w:rsidP="00442740">
      <w:r>
        <w:t>Občanská společnost je zprostředkující systém mezi společností a státem (úřady, zákony, vláda), který je podporován v demokratických společnostech. Zajišťuje mechanismy, na které jsou jedinci slabí a stát příliš velký nebo neefektivní. Je založena na dobrovolnosti občanů a je výrazem jejich politické participace a zájmu o dění ve státě. Občanskou společnost lze vymezit technicky výčtem organizací působících ve zprostředkujícím systému (církev, profesní komory, zájmové skupiny, spolky) nebo hodnotově jako společnost vyspělých, suverénních občanů, kteří se mohou a chtějí na organizaci společenského života podílet. (Buček 2019, s. 126-127)</w:t>
      </w:r>
    </w:p>
    <w:p w:rsidR="00442740" w:rsidRDefault="00442740" w:rsidP="00442740">
      <w:r>
        <w:lastRenderedPageBreak/>
        <w:t>Zprostředkující systém mezi jedinci a státem tvoří zejména politické strany (realizují představy svých voličů prostřednictvím politické moci), masová média (podávají informace, formují náš pohled na svět) a zájmové skupiny (sdružení, spolky, odbory, církve, mládežnické organizace).</w:t>
      </w:r>
    </w:p>
    <w:p w:rsidR="00442740" w:rsidRPr="00140140" w:rsidRDefault="00442740" w:rsidP="00442740">
      <w:r w:rsidRPr="00140140">
        <w:t>Doporučená literatura k</w:t>
      </w:r>
      <w:r>
        <w:t> </w:t>
      </w:r>
      <w:r w:rsidRPr="00140140">
        <w:t>tématu</w:t>
      </w:r>
      <w:r>
        <w:t xml:space="preserve"> pro žáky</w:t>
      </w:r>
      <w:r w:rsidRPr="00140140">
        <w:t>:</w:t>
      </w:r>
    </w:p>
    <w:p w:rsidR="00442740" w:rsidRDefault="00442740" w:rsidP="00442740">
      <w:pPr>
        <w:pStyle w:val="Odstavecseseznamem"/>
        <w:numPr>
          <w:ilvl w:val="0"/>
          <w:numId w:val="1"/>
        </w:numPr>
      </w:pPr>
      <w:r>
        <w:t xml:space="preserve">BUČEK, Ladislav, Klára HAMUĽÁKOVÁ, Klára ILLE, et al. </w:t>
      </w:r>
      <w:r>
        <w:rPr>
          <w:i/>
          <w:iCs/>
        </w:rPr>
        <w:t>Občanský a společenskovědní základ: přehled středoškolského učiva</w:t>
      </w:r>
      <w:r>
        <w:t xml:space="preserve">. Druhé, aktualizované vydání. Brno: </w:t>
      </w:r>
      <w:proofErr w:type="spellStart"/>
      <w:r>
        <w:t>Edika</w:t>
      </w:r>
      <w:proofErr w:type="spellEnd"/>
      <w:r>
        <w:t>, 2019. ISBN 978-80-266-1401-2. Kapitola: Politická participace a politická kultura 109-110 a Občanská společnost 126-130</w:t>
      </w:r>
    </w:p>
    <w:p w:rsidR="00442740" w:rsidRDefault="00442740" w:rsidP="00442740">
      <w:pPr>
        <w:pStyle w:val="Odstavecseseznamem"/>
        <w:numPr>
          <w:ilvl w:val="0"/>
          <w:numId w:val="1"/>
        </w:numPr>
      </w:pPr>
      <w:r>
        <w:t xml:space="preserve">CABADA, Ladislav a Michal KUBÁT. </w:t>
      </w:r>
      <w:r>
        <w:rPr>
          <w:i/>
          <w:iCs/>
        </w:rPr>
        <w:t>Úvod do studia politické vědy</w:t>
      </w:r>
      <w:r>
        <w:t>. Plzeň: Vydavatelství a nakladatelství Aleš Čeněk, 2007. ISBN 978-80-7380-076-5. Kapitola 16: Politická sociologie.</w:t>
      </w:r>
    </w:p>
    <w:p w:rsidR="00442740" w:rsidRPr="00D43F9D" w:rsidRDefault="00442740" w:rsidP="00442740">
      <w:r w:rsidRPr="0044332E">
        <w:t>Informace o občanském</w:t>
      </w:r>
      <w:r w:rsidRPr="00D43F9D">
        <w:t xml:space="preserve"> hnutí pozvaného na besedu a jeho ohlas v</w:t>
      </w:r>
      <w:r>
        <w:t> </w:t>
      </w:r>
      <w:r w:rsidRPr="00D43F9D">
        <w:t>médiích</w:t>
      </w:r>
      <w:r>
        <w:t>:</w:t>
      </w:r>
    </w:p>
    <w:p w:rsidR="00442740" w:rsidRPr="002C41F0" w:rsidRDefault="00442740" w:rsidP="00442740">
      <w:pPr>
        <w:pStyle w:val="Odstavecseseznamem"/>
        <w:numPr>
          <w:ilvl w:val="0"/>
          <w:numId w:val="3"/>
        </w:numPr>
      </w:pPr>
      <w:proofErr w:type="spellStart"/>
      <w:r>
        <w:t>Rebélie</w:t>
      </w:r>
      <w:proofErr w:type="spellEnd"/>
      <w:r>
        <w:t xml:space="preserve"> proti vyhynutí (</w:t>
      </w:r>
      <w:proofErr w:type="spellStart"/>
      <w:r>
        <w:t>Extinction</w:t>
      </w:r>
      <w:proofErr w:type="spellEnd"/>
      <w:r>
        <w:t xml:space="preserve"> </w:t>
      </w:r>
      <w:proofErr w:type="spellStart"/>
      <w:r>
        <w:t>Rebelion</w:t>
      </w:r>
      <w:proofErr w:type="spellEnd"/>
      <w:r>
        <w:t xml:space="preserve">) - </w:t>
      </w:r>
      <w:hyperlink r:id="rId5" w:history="1">
        <w:r w:rsidRPr="00600349">
          <w:rPr>
            <w:rStyle w:val="Hypertextovodkaz"/>
          </w:rPr>
          <w:t>https://www.extinctionrebellion.cz/</w:t>
        </w:r>
      </w:hyperlink>
      <w:r>
        <w:t xml:space="preserve">  </w:t>
      </w:r>
    </w:p>
    <w:p w:rsidR="00442740" w:rsidRPr="00D43F9D" w:rsidRDefault="00442740" w:rsidP="00442740">
      <w:pPr>
        <w:pStyle w:val="Odstavecseseznamem"/>
        <w:numPr>
          <w:ilvl w:val="0"/>
          <w:numId w:val="3"/>
        </w:numPr>
        <w:rPr>
          <w:rStyle w:val="Hypertextovodkaz"/>
        </w:rPr>
      </w:pPr>
      <w:r>
        <w:t xml:space="preserve">iDNES.cz </w:t>
      </w:r>
      <w:r w:rsidRPr="00371C87">
        <w:t>VIDEO: Oběšenci na tajícím ledu v Brně varovali před změnou klimatu</w:t>
      </w:r>
      <w:r>
        <w:t>. In:</w:t>
      </w:r>
      <w:r w:rsidRPr="00371C87">
        <w:t xml:space="preserve"> i</w:t>
      </w:r>
      <w:r w:rsidRPr="001934D6">
        <w:rPr>
          <w:i/>
        </w:rPr>
        <w:t xml:space="preserve">DNES.cz </w:t>
      </w:r>
      <w:r>
        <w:t xml:space="preserve">[online]. Praha: </w:t>
      </w:r>
      <w:proofErr w:type="spellStart"/>
      <w:r>
        <w:t>Mafra</w:t>
      </w:r>
      <w:proofErr w:type="spellEnd"/>
      <w:r>
        <w:t>, 30. 7. 2019 [cit. 20. 4. 2020]. Dostupné z: &lt;</w:t>
      </w:r>
      <w:hyperlink r:id="rId6" w:history="1">
        <w:r>
          <w:rPr>
            <w:rStyle w:val="Hypertextovodkaz"/>
          </w:rPr>
          <w:t>http://ttps://www.idnes.cz/brno/zpravy/obesenci-led-zmena-klimatu-extinction-rebellion.A190730_172641_brno-zpravy_krut</w:t>
        </w:r>
      </w:hyperlink>
      <w:r>
        <w:t>&gt;</w:t>
      </w:r>
    </w:p>
    <w:p w:rsidR="00442740" w:rsidRPr="00D552F1" w:rsidRDefault="00442740" w:rsidP="00442740">
      <w:pPr>
        <w:pStyle w:val="Odstavecseseznamem"/>
        <w:numPr>
          <w:ilvl w:val="0"/>
          <w:numId w:val="3"/>
        </w:numPr>
        <w:rPr>
          <w:rStyle w:val="Hypertextovodkaz"/>
        </w:rPr>
      </w:pPr>
      <w:r>
        <w:t xml:space="preserve">DVTV. </w:t>
      </w:r>
      <w:r w:rsidRPr="001A31B0">
        <w:t>Video: DVTV rozhovor s mluvčí Rebelie proti vyhynutí</w:t>
      </w:r>
      <w:r>
        <w:t xml:space="preserve">. In: </w:t>
      </w:r>
      <w:r>
        <w:rPr>
          <w:i/>
        </w:rPr>
        <w:t>Aktuálně.cz</w:t>
      </w:r>
      <w:r>
        <w:t xml:space="preserve"> [online]. Praha: </w:t>
      </w:r>
      <w:proofErr w:type="spellStart"/>
      <w:r>
        <w:t>Economia</w:t>
      </w:r>
      <w:proofErr w:type="spellEnd"/>
      <w:r>
        <w:t xml:space="preserve"> 2019, 5.8.2019 [cit. 20. 4. 2020]. Dostupné z: &lt;</w:t>
      </w:r>
      <w:hyperlink r:id="rId7" w:history="1">
        <w:r w:rsidRPr="009F22B1">
          <w:rPr>
            <w:rStyle w:val="Hypertextovodkaz"/>
          </w:rPr>
          <w:t>https://video.aktualne.cz/dvtv/bojujeme-i-za-ovcacka-ze-zatykani-mame-radost-rika-mluvci-re/r~cf0574dab53611e9b6a9ac1f6b220ee8/</w:t>
        </w:r>
      </w:hyperlink>
      <w:r>
        <w:t>&gt;</w:t>
      </w:r>
    </w:p>
    <w:p w:rsidR="00442740" w:rsidRPr="00D43F9D" w:rsidRDefault="00442740" w:rsidP="00442740">
      <w:r w:rsidRPr="00D43F9D">
        <w:t xml:space="preserve">Informace k tématu, kterým se zabývá hnutí </w:t>
      </w:r>
      <w:proofErr w:type="spellStart"/>
      <w:r w:rsidRPr="00D43F9D">
        <w:t>Extinction</w:t>
      </w:r>
      <w:proofErr w:type="spellEnd"/>
      <w:r w:rsidRPr="00D43F9D">
        <w:t xml:space="preserve"> </w:t>
      </w:r>
      <w:proofErr w:type="spellStart"/>
      <w:r w:rsidRPr="00D43F9D">
        <w:t>Rebelion</w:t>
      </w:r>
      <w:proofErr w:type="spellEnd"/>
      <w:r>
        <w:t>:</w:t>
      </w:r>
      <w:r w:rsidRPr="00D43F9D">
        <w:t xml:space="preserve"> </w:t>
      </w:r>
    </w:p>
    <w:p w:rsidR="00442740" w:rsidRDefault="00442740" w:rsidP="00442740">
      <w:pPr>
        <w:pStyle w:val="Odstavecseseznamem"/>
        <w:numPr>
          <w:ilvl w:val="0"/>
          <w:numId w:val="3"/>
        </w:numPr>
        <w:spacing w:after="0"/>
      </w:pPr>
      <w:r>
        <w:t xml:space="preserve">Ústav výzkumu globální změny AV ČR </w:t>
      </w:r>
      <w:proofErr w:type="spellStart"/>
      <w:r>
        <w:t>v.v.i</w:t>
      </w:r>
      <w:proofErr w:type="spellEnd"/>
      <w:r>
        <w:t xml:space="preserve">. Průvodce změnou klimatu. In: </w:t>
      </w:r>
      <w:r w:rsidRPr="003070AE">
        <w:rPr>
          <w:i/>
        </w:rPr>
        <w:t>Klimatickázměna</w:t>
      </w:r>
      <w:r>
        <w:rPr>
          <w:i/>
        </w:rPr>
        <w:t>.cz</w:t>
      </w:r>
      <w:r>
        <w:t xml:space="preserve"> [online]. Brno: Ústav výzkumu globální změny AV ČR </w:t>
      </w:r>
      <w:proofErr w:type="spellStart"/>
      <w:r>
        <w:t>v.v.i</w:t>
      </w:r>
      <w:proofErr w:type="spellEnd"/>
      <w:r>
        <w:t>. 2020 [cit. 07.09.2020]. Dostupné z: &lt;</w:t>
      </w:r>
      <w:hyperlink r:id="rId8" w:history="1">
        <w:r w:rsidRPr="00600349">
          <w:rPr>
            <w:rStyle w:val="Hypertextovodkaz"/>
          </w:rPr>
          <w:t>https://www.klimatickazmena.cz/cs/vse-o-klimaticke-zmene/pruvodce-zmenou-klimatu/</w:t>
        </w:r>
      </w:hyperlink>
      <w:r>
        <w:rPr>
          <w:rStyle w:val="Hypertextovodkaz"/>
        </w:rPr>
        <w:t>&gt;</w:t>
      </w:r>
    </w:p>
    <w:p w:rsidR="00442740" w:rsidRDefault="00442740" w:rsidP="00442740">
      <w:pPr>
        <w:pStyle w:val="Odstavecseseznamem"/>
        <w:numPr>
          <w:ilvl w:val="0"/>
          <w:numId w:val="3"/>
        </w:numPr>
        <w:spacing w:after="0"/>
      </w:pPr>
      <w:r>
        <w:t>Krajina v tísni. [dokumentární film] Režie: Petr JANČÁREK. Člověk v tísni. Dokument ČR, 2017, 52 min. Dostupné z &lt;</w:t>
      </w:r>
      <w:r w:rsidRPr="00EA0D35">
        <w:t>https://promitejity.cz/detail-filmu/86-krajina-v-tisni</w:t>
      </w:r>
      <w:r>
        <w:t>&gt;</w:t>
      </w:r>
    </w:p>
    <w:p w:rsidR="00442740" w:rsidRDefault="00442740" w:rsidP="00442740"/>
    <w:p w:rsidR="00442740" w:rsidRPr="000E5C63" w:rsidRDefault="00442740" w:rsidP="00442740">
      <w:r>
        <w:t>Použité zdroje:</w:t>
      </w:r>
    </w:p>
    <w:p w:rsidR="00442740" w:rsidRPr="00C8295C" w:rsidRDefault="00442740" w:rsidP="00442740">
      <w:pPr>
        <w:pStyle w:val="Odstavecseseznamem"/>
        <w:numPr>
          <w:ilvl w:val="0"/>
          <w:numId w:val="5"/>
        </w:numPr>
      </w:pPr>
      <w:r>
        <w:t xml:space="preserve">BUČEK, Ladislav, Klára HAMUĽÁKOVÁ, Klára ILLE, et al. </w:t>
      </w:r>
      <w:r w:rsidRPr="00C8295C">
        <w:rPr>
          <w:i/>
          <w:iCs/>
        </w:rPr>
        <w:t>Občanský a společenskovědní základ: přehled středoškolského učiva</w:t>
      </w:r>
      <w:r>
        <w:t xml:space="preserve">. Druhé, aktualizované vydání. Brno: </w:t>
      </w:r>
      <w:proofErr w:type="spellStart"/>
      <w:r>
        <w:t>Edika</w:t>
      </w:r>
      <w:proofErr w:type="spellEnd"/>
      <w:r>
        <w:t>, 2019. Maturity (</w:t>
      </w:r>
      <w:proofErr w:type="spellStart"/>
      <w:r>
        <w:t>Edika</w:t>
      </w:r>
      <w:proofErr w:type="spellEnd"/>
      <w:r>
        <w:t>). ISBN 978-80-266-1401-2. Kapitola: Politická participace a politická kultura 109-110 a Občanská společnost 126-130</w:t>
      </w:r>
    </w:p>
    <w:p w:rsidR="00442740" w:rsidRPr="0044332E" w:rsidRDefault="00442740" w:rsidP="00442740">
      <w:pPr>
        <w:pStyle w:val="Odstavecseseznamem"/>
        <w:numPr>
          <w:ilvl w:val="0"/>
          <w:numId w:val="4"/>
        </w:numPr>
        <w:ind w:left="709"/>
        <w:rPr>
          <w:b/>
        </w:rPr>
      </w:pPr>
      <w:r>
        <w:t xml:space="preserve">GIDDENS, Anthony, SUTTON, Philip W., </w:t>
      </w:r>
      <w:proofErr w:type="spellStart"/>
      <w:r>
        <w:t>ed</w:t>
      </w:r>
      <w:proofErr w:type="spellEnd"/>
      <w:r>
        <w:t xml:space="preserve">. </w:t>
      </w:r>
      <w:r w:rsidRPr="0044332E">
        <w:rPr>
          <w:i/>
          <w:iCs/>
        </w:rPr>
        <w:t>Sociologie</w:t>
      </w:r>
      <w:r>
        <w:t>. Praha: Argo, 2013. ISBN 978-80--257-0807-1.</w:t>
      </w:r>
    </w:p>
    <w:p w:rsidR="00923C1A" w:rsidRDefault="00923C1A">
      <w:bookmarkStart w:id="0" w:name="_GoBack"/>
      <w:bookmarkEnd w:id="0"/>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75C"/>
    <w:multiLevelType w:val="hybridMultilevel"/>
    <w:tmpl w:val="B2D8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25234D"/>
    <w:multiLevelType w:val="hybridMultilevel"/>
    <w:tmpl w:val="B1C0C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F948A0"/>
    <w:multiLevelType w:val="hybridMultilevel"/>
    <w:tmpl w:val="EB4C56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B4A631D"/>
    <w:multiLevelType w:val="hybridMultilevel"/>
    <w:tmpl w:val="994EB8FA"/>
    <w:lvl w:ilvl="0" w:tplc="C6146BBC">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BA0E52"/>
    <w:multiLevelType w:val="hybridMultilevel"/>
    <w:tmpl w:val="49BAE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40"/>
    <w:rsid w:val="00442740"/>
    <w:rsid w:val="0092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A9256-9195-4C96-BBCB-17538D5D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740"/>
    <w:pPr>
      <w:spacing w:after="200" w:line="240" w:lineRule="auto"/>
      <w:jc w:val="both"/>
    </w:pPr>
    <w:rPr>
      <w:rFonts w:cs="Arial"/>
    </w:rPr>
  </w:style>
  <w:style w:type="paragraph" w:styleId="Nadpis2">
    <w:name w:val="heading 2"/>
    <w:basedOn w:val="Normln"/>
    <w:next w:val="Normln"/>
    <w:link w:val="Nadpis2Char"/>
    <w:uiPriority w:val="9"/>
    <w:unhideWhenUsed/>
    <w:qFormat/>
    <w:rsid w:val="00442740"/>
    <w:pPr>
      <w:keepNext/>
      <w:keepLines/>
      <w:outlineLvl w:val="1"/>
    </w:pPr>
    <w:rPr>
      <w:rFonts w:eastAsiaTheme="majorEastAsia" w:cstheme="majorBidi"/>
      <w:b/>
      <w:bCs/>
      <w:color w:val="7F7F7F" w:themeColor="text1" w:themeTint="8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42740"/>
    <w:rPr>
      <w:rFonts w:eastAsiaTheme="majorEastAsia" w:cstheme="majorBidi"/>
      <w:b/>
      <w:bCs/>
      <w:color w:val="7F7F7F" w:themeColor="text1" w:themeTint="80"/>
      <w:sz w:val="26"/>
      <w:szCs w:val="26"/>
    </w:rPr>
  </w:style>
  <w:style w:type="character" w:styleId="Hypertextovodkaz">
    <w:name w:val="Hyperlink"/>
    <w:basedOn w:val="Standardnpsmoodstavce"/>
    <w:uiPriority w:val="99"/>
    <w:unhideWhenUsed/>
    <w:rsid w:val="00442740"/>
    <w:rPr>
      <w:color w:val="0563C1" w:themeColor="hyperlink"/>
      <w:u w:val="single"/>
    </w:rPr>
  </w:style>
  <w:style w:type="paragraph" w:styleId="Odstavecseseznamem">
    <w:name w:val="List Paragraph"/>
    <w:basedOn w:val="Normln"/>
    <w:qFormat/>
    <w:rsid w:val="0044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tickazmena.cz/cs/vse-o-klimaticke-zmene/pruvodce-zmenou-klimatu/" TargetMode="External"/><Relationship Id="rId3" Type="http://schemas.openxmlformats.org/officeDocument/2006/relationships/settings" Target="settings.xml"/><Relationship Id="rId7" Type="http://schemas.openxmlformats.org/officeDocument/2006/relationships/hyperlink" Target="https://video.aktualne.cz/dvtv/bojujeme-i-za-ovcacka-ze-zatykani-mame-radost-rika-mluvci-re/r~cf0574dab53611e9b6a9ac1f6b220ee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tps:/www.idnes.cz/brno/zpravy/obesenci-led-zmena-klimatu-extinction-rebellion.A190730_172641_brno-zpravy_krut" TargetMode="External"/><Relationship Id="rId5" Type="http://schemas.openxmlformats.org/officeDocument/2006/relationships/hyperlink" Target="https://www.extinctionrebellion.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7721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2022-08-24T10:41:00Z</dcterms:created>
  <dcterms:modified xsi:type="dcterms:W3CDTF">2022-08-24T10:42:00Z</dcterms:modified>
</cp:coreProperties>
</file>